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Универсальная модель перехода от традиционной методической системы ОО к профессиональному взаимодействию через работу в ПОС</w:t>
      </w:r>
    </w:p>
    <w:p w14:paraId="02000000">
      <w:pPr>
        <w:ind/>
        <w:jc w:val="both"/>
        <w:rPr>
          <w:rFonts w:ascii="Times New Roman" w:hAnsi="Times New Roman"/>
          <w:sz w:val="28"/>
        </w:rPr>
      </w:pPr>
    </w:p>
    <w:p w14:paraId="03000000">
      <w:pPr>
        <w:ind/>
        <w:jc w:val="both"/>
        <w:rPr>
          <w:rFonts w:ascii="Times New Roman" w:hAnsi="Times New Roman"/>
          <w:sz w:val="28"/>
        </w:rPr>
      </w:pPr>
    </w:p>
    <w:p w14:paraId="04000000">
      <w:pPr>
        <w:ind/>
        <w:jc w:val="both"/>
        <w:rPr>
          <w:rFonts w:ascii="Times New Roman" w:hAnsi="Times New Roman"/>
          <w:sz w:val="28"/>
        </w:rPr>
      </w:pPr>
    </w:p>
    <w:p w14:paraId="05000000">
      <w:pPr>
        <w:ind/>
        <w:jc w:val="both"/>
        <w:rPr>
          <w:rFonts w:ascii="Times New Roman" w:hAnsi="Times New Roman"/>
          <w:sz w:val="28"/>
        </w:rPr>
      </w:pPr>
    </w:p>
    <w:p w14:paraId="06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Алгоритм </w:t>
      </w:r>
      <w:r>
        <w:rPr>
          <w:rFonts w:ascii="Times New Roman" w:hAnsi="Times New Roman"/>
          <w:b w:val="1"/>
          <w:sz w:val="28"/>
        </w:rPr>
        <w:t>перехода от традиционной методической системы ОО к профессиональному взаимодействию через работу в ПОС</w:t>
      </w:r>
    </w:p>
    <w:p w14:paraId="07000000">
      <w:pPr>
        <w:ind/>
        <w:jc w:val="both"/>
        <w:rPr>
          <w:rFonts w:ascii="Times New Roman" w:hAnsi="Times New Roman"/>
          <w:b w:val="1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"/>
        <w:gridCol w:w="1650"/>
        <w:gridCol w:w="1740"/>
        <w:gridCol w:w="1590"/>
        <w:gridCol w:w="1594"/>
        <w:gridCol w:w="2339"/>
      </w:tblGrid>
      <w:tr>
        <w:trPr>
          <w:trHeight w:hRule="atLeast" w:val="360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b w:val="1"/>
              </w:rPr>
            </w:pPr>
            <w:r>
              <w:rPr>
                <w:b w:val="1"/>
              </w:rPr>
              <w:t>Шаг №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b w:val="1"/>
              </w:rPr>
            </w:pPr>
            <w:r>
              <w:rPr>
                <w:b w:val="1"/>
              </w:rPr>
              <w:t>Название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b w:val="1"/>
              </w:rPr>
            </w:pPr>
            <w:r>
              <w:rPr>
                <w:b w:val="1"/>
              </w:rPr>
              <w:t>Действия управленческой команды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b w:val="1"/>
              </w:rPr>
            </w:pPr>
            <w:r>
              <w:rPr>
                <w:b w:val="1"/>
              </w:rPr>
              <w:t>Действия педагогов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b w:val="1"/>
              </w:rPr>
            </w:pPr>
            <w:r>
              <w:rPr>
                <w:b w:val="1"/>
              </w:rPr>
              <w:t>Продукты и результаты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b w:val="1"/>
              </w:rPr>
            </w:pPr>
            <w:r>
              <w:rPr>
                <w:b w:val="1"/>
              </w:rPr>
              <w:t>Ресурсы</w:t>
            </w:r>
          </w:p>
        </w:tc>
      </w:tr>
      <w:tr>
        <w:trPr>
          <w:trHeight w:hRule="atLeast" w:val="360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1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Экспертиза образовательной среды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numPr>
                <w:numId w:val="1"/>
              </w:numPr>
            </w:pPr>
            <w:r>
              <w:t>провести мониторинг качества образования;</w:t>
            </w:r>
          </w:p>
          <w:p w14:paraId="11000000">
            <w:pPr>
              <w:numPr>
                <w:numId w:val="1"/>
              </w:numPr>
            </w:pPr>
            <w:r>
              <w:t>исследовать и провести образовательной среды;</w:t>
            </w:r>
          </w:p>
          <w:p w14:paraId="12000000">
            <w:pPr>
              <w:numPr>
                <w:numId w:val="1"/>
              </w:numPr>
            </w:pPr>
            <w:r>
              <w:t>провести диагностическое исследование профессиональных затруднений педагогов.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участвуют в исследовании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Аналитическая справка по результатам проведенного исследования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В.А. Ясвин «»</w:t>
            </w:r>
          </w:p>
          <w:p w14:paraId="16000000">
            <w:r>
              <w:t>О.В. Тихомирова «»</w:t>
            </w:r>
          </w:p>
        </w:tc>
      </w:tr>
      <w:tr>
        <w:trPr>
          <w:trHeight w:hRule="atLeast" w:val="360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Выбор педагогической стратегии улучшения качества образования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numPr>
                <w:numId w:val="2"/>
              </w:numPr>
            </w:pPr>
            <w:r>
              <w:t>представить результаты исследования на педагогическом совете;</w:t>
            </w:r>
          </w:p>
          <w:p w14:paraId="1A000000">
            <w:pPr>
              <w:numPr>
                <w:numId w:val="2"/>
              </w:numPr>
            </w:pPr>
            <w:r>
              <w:t>представить стратегию профессионального взаимодействия;</w:t>
            </w:r>
          </w:p>
          <w:p w14:paraId="1B000000">
            <w:pPr>
              <w:numPr>
                <w:numId w:val="2"/>
              </w:numPr>
            </w:pPr>
            <w:r>
              <w:t>разработать Положение о ПОС;</w:t>
            </w:r>
          </w:p>
          <w:p w14:paraId="1C000000">
            <w:pPr>
              <w:numPr>
                <w:numId w:val="2"/>
              </w:numPr>
            </w:pPr>
            <w:r>
              <w:t>разработать и представитьинструменты оценивания эффективности работы ПОС.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numPr>
                <w:numId w:val="3"/>
              </w:numPr>
            </w:pPr>
            <w:r>
              <w:t>проанализировать результаты и выявить причины проблем;</w:t>
            </w:r>
          </w:p>
          <w:p w14:paraId="1E000000">
            <w:pPr>
              <w:numPr>
                <w:numId w:val="3"/>
              </w:numPr>
            </w:pPr>
            <w:r>
              <w:t>определить классы с рисками «учебной неуспешности»;</w:t>
            </w:r>
          </w:p>
          <w:p w14:paraId="1F000000">
            <w:pPr>
              <w:numPr>
                <w:numId w:val="3"/>
              </w:numPr>
            </w:pPr>
            <w:r>
              <w:t>объединиться вокруг выявленных классов.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Протокол педагогического совета;</w:t>
            </w:r>
          </w:p>
          <w:p w14:paraId="21000000">
            <w:r>
              <w:t>Положение о ПОС.</w:t>
            </w:r>
          </w:p>
          <w:p w14:paraId="22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Аналитическая справка о результатах исследования</w:t>
            </w:r>
          </w:p>
        </w:tc>
      </w:tr>
      <w:tr>
        <w:trPr>
          <w:trHeight w:hRule="atLeast" w:val="360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3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Создание ПОС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2"/>
              </w:rPr>
            </w:pPr>
            <w:r>
              <w:rPr>
                <w:sz w:val="22"/>
              </w:rPr>
              <w:t xml:space="preserve">создать приказ </w:t>
            </w:r>
            <w:r>
              <w:rPr>
                <w:rFonts w:ascii="Roboto" w:hAnsi="Roboto"/>
                <w:b w:val="0"/>
                <w:i w:val="0"/>
                <w:caps w:val="0"/>
                <w:color w:val="000000"/>
                <w:spacing w:val="0"/>
                <w:sz w:val="22"/>
              </w:rPr>
              <w:t> </w:t>
            </w:r>
            <w:r>
              <w:rPr>
                <w:rFonts w:ascii="Roboto" w:hAnsi="Roboto"/>
                <w:b w:val="0"/>
                <w:i w:val="0"/>
                <w:caps w:val="0"/>
                <w:color w:val="000000"/>
                <w:spacing w:val="0"/>
                <w:sz w:val="22"/>
              </w:rPr>
              <w:t>"О создании профессионльных обучающих сообществ учителей (ПОС)»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numPr>
                <w:numId w:val="4"/>
              </w:numPr>
            </w:pPr>
            <w:r>
              <w:t>выбрать руководителя ПОС;</w:t>
            </w:r>
          </w:p>
          <w:p w14:paraId="28000000">
            <w:pPr>
              <w:numPr>
                <w:numId w:val="4"/>
              </w:numPr>
            </w:pPr>
            <w:r>
              <w:t>заключить соглашение о работе в ПОС;</w:t>
            </w:r>
          </w:p>
          <w:p w14:paraId="29000000">
            <w:pPr>
              <w:numPr>
                <w:numId w:val="4"/>
              </w:numPr>
            </w:pPr>
            <w:r>
              <w:t>выбрать педагогические технологии;</w:t>
            </w:r>
          </w:p>
          <w:p w14:paraId="2A000000">
            <w:pPr>
              <w:numPr>
                <w:numId w:val="4"/>
              </w:numPr>
            </w:pPr>
            <w:r>
              <w:t xml:space="preserve">составить план горизонтального обучения (участие педагогов во внешних мероприятиях с целью трансляции опыта внутри ПОС). 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Соглашение ПОС;</w:t>
            </w:r>
          </w:p>
          <w:p w14:paraId="2C000000">
            <w:r>
              <w:t>план  горизонтального обучения  ПОС;</w:t>
            </w:r>
          </w:p>
          <w:p w14:paraId="2D000000">
            <w:r>
              <w:t>дневник ПОС.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Муниципальный и (или) региональный план методической работы</w:t>
            </w:r>
          </w:p>
        </w:tc>
      </w:tr>
      <w:tr>
        <w:trPr>
          <w:trHeight w:hRule="atLeast" w:val="360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4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Составление плана ВФО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включить планы работы ПОС в план методической работы школы.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составить план работы ПОС и график встреч.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план методической работы школы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5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Работа в ПОС с учетом выбранной стратегии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создать условия для эффективной работы ПОС (внести изменения в Положение о надбавках, выделить время для встреч членов ПОС, предоставить необходимую информацию, организовать тьюторское сопровождение ПОС);</w:t>
            </w:r>
          </w:p>
          <w:p w14:paraId="37000000"/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осуществлять деятельность в соответствии с планом работы ПОС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Положение о надбавках;</w:t>
            </w:r>
          </w:p>
          <w:p w14:paraId="3A000000">
            <w:r>
              <w:t>журнал консультаций тьютора.</w:t>
            </w:r>
          </w:p>
          <w:p w14:paraId="3B000000"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по запросу</w:t>
            </w:r>
          </w:p>
        </w:tc>
      </w:tr>
      <w:tr>
        <w:trPr>
          <w:trHeight w:hRule="atLeast" w:val="360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6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Экспертиза результатов работы ПОС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numPr>
                <w:numId w:val="5"/>
              </w:numPr>
            </w:pPr>
            <w:r>
              <w:t>оценить эффективность выбранной стратегии улучшения качества образования;</w:t>
            </w:r>
          </w:p>
          <w:p w14:paraId="40000000">
            <w:pPr>
              <w:numPr>
                <w:numId w:val="5"/>
              </w:numPr>
            </w:pPr>
            <w:r>
              <w:t>определить направления работы на следующий учебный год.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numPr>
                <w:numId w:val="6"/>
              </w:numPr>
            </w:pPr>
            <w:r>
              <w:t>определить эффективность работы ПОС с помощью инструментов оценивания;</w:t>
            </w:r>
          </w:p>
          <w:p w14:paraId="42000000">
            <w:pPr>
              <w:numPr>
                <w:numId w:val="6"/>
              </w:numPr>
            </w:pPr>
            <w:r>
              <w:t>провести анализ деятельности ПОС и представить результаты на педагогическом совете.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Протокол педагогического совеета;</w:t>
            </w:r>
          </w:p>
          <w:p w14:paraId="44000000">
            <w:r>
              <w:t>отчеты руководителей ПОС.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Инструменты оценивания эффективности работы ПОС</w:t>
            </w:r>
          </w:p>
        </w:tc>
      </w:tr>
    </w:tbl>
    <w:p w14:paraId="46000000">
      <w:pPr>
        <w:ind/>
        <w:jc w:val="both"/>
        <w:rPr>
          <w:rFonts w:ascii="Times New Roman" w:hAnsi="Times New Roman"/>
          <w:b w:val="1"/>
          <w:sz w:val="28"/>
        </w:rPr>
      </w:pPr>
    </w:p>
    <w:p w14:paraId="4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время, создание условий непрерывного профессионального роста педагогов для их соответствия высоким профессиональным требованиям профессии обеспечивается системой дополнительного профессионального образования. Однако традиционные курсы повышения квалификации не в полной мере решают эту задачу по причине того, что учитель нуждается в персональном научно-методическом сопровождении в процессе осуществления педагогической деятельности в образовательной организации. Также, проанализировав, образовательные результаты учащихся и качество преподавания мы сделали вывод, что в школе должны быть созданы такие условия, которые будут содействовать сплочению педагогического коллектива, улучшению качества уроков за счет постоянного профессионального обучения учителей, поддержанию позитивного климата, что, в свою очередь, создаст условия для успешного обучения и развития ребенка, обеспечит среду, в которой все ученики имеют равные возможности. Школа должна была найти ресурсы и внутренний потенциал, чтобы справиться с проблемами. И таким потенциалом стала организация в школе профессиональных обучающихся сообществ.</w:t>
      </w:r>
    </w:p>
    <w:p w14:paraId="48000000">
      <w:pPr>
        <w:ind/>
        <w:jc w:val="both"/>
        <w:rPr>
          <w:rFonts w:ascii="Times New Roman" w:hAnsi="Times New Roman"/>
          <w:sz w:val="28"/>
        </w:rPr>
      </w:pPr>
    </w:p>
    <w:p w14:paraId="49000000">
      <w:pPr>
        <w:ind/>
        <w:jc w:val="both"/>
        <w:rPr>
          <w:rFonts w:ascii="Times New Roman" w:hAnsi="Times New Roman"/>
          <w:sz w:val="28"/>
        </w:rPr>
      </w:pPr>
    </w:p>
    <w:p w14:paraId="4A000000">
      <w:pPr>
        <w:ind/>
        <w:jc w:val="both"/>
        <w:rPr>
          <w:rFonts w:ascii="Times New Roman" w:hAnsi="Times New Roman"/>
          <w:color w:val="222222"/>
          <w:sz w:val="28"/>
          <w:highlight w:val="white"/>
        </w:rPr>
      </w:pPr>
      <w:r>
        <w:rPr>
          <w:rFonts w:ascii="Times New Roman" w:hAnsi="Times New Roman"/>
          <w:sz w:val="28"/>
        </w:rPr>
        <w:t>В школе уже несколько лет организована необычная методическая структура: вместо традиционных методических предметных объединений созданы профессиональные обучающиеся сообщества, в которых объединены педагоги разных предметов для решения общих проблем.</w:t>
      </w:r>
      <w:r>
        <w:rPr>
          <w:rFonts w:ascii="Times New Roman" w:hAnsi="Times New Roman"/>
          <w:color w:val="222222"/>
          <w:sz w:val="28"/>
          <w:highlight w:val="white"/>
        </w:rPr>
        <w:t xml:space="preserve"> </w:t>
      </w:r>
      <w:r>
        <w:rPr>
          <w:rFonts w:ascii="Times New Roman" w:hAnsi="Times New Roman"/>
          <w:color w:val="222222"/>
          <w:sz w:val="28"/>
          <w:highlight w:val="white"/>
        </w:rPr>
        <w:t>Каждый член педагогического коллектива имеет возможность не только участвовать в реализации уже готового плана методической работы школы, но и принимать активное участие в составлении и разработке этого плана. На слайде видно, что первым шагом к составлению плана работы школы является выбор темы самообразования педагогом. Выбранные темы становятся частью плана работы ПОС, который , в своё время, включён в план методической работы и т.</w:t>
      </w:r>
      <w:r>
        <w:rPr>
          <w:rFonts w:ascii="Times New Roman" w:hAnsi="Times New Roman"/>
          <w:color w:val="222222"/>
          <w:sz w:val="28"/>
          <w:highlight w:val="white"/>
        </w:rPr>
        <w:t>д</w:t>
      </w:r>
      <w:r>
        <w:rPr>
          <w:rFonts w:ascii="Times New Roman" w:hAnsi="Times New Roman"/>
          <w:color w:val="222222"/>
          <w:sz w:val="28"/>
          <w:highlight w:val="white"/>
        </w:rPr>
        <w:t>.</w:t>
      </w:r>
    </w:p>
    <w:p w14:paraId="4B000000">
      <w:pPr>
        <w:ind/>
        <w:jc w:val="both"/>
        <w:rPr>
          <w:rFonts w:ascii="Times New Roman" w:hAnsi="Times New Roman"/>
          <w:color w:val="222222"/>
          <w:sz w:val="28"/>
          <w:highlight w:val="white"/>
        </w:rPr>
      </w:pPr>
    </w:p>
    <w:p w14:paraId="4C000000">
      <w:pPr>
        <w:ind/>
        <w:jc w:val="both"/>
        <w:rPr>
          <w:rFonts w:ascii="Times New Roman" w:hAnsi="Times New Roman"/>
          <w:color w:val="222222"/>
          <w:sz w:val="28"/>
          <w:highlight w:val="white"/>
        </w:rPr>
      </w:pPr>
    </w:p>
    <w:p w14:paraId="4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хочу представить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z w:val="28"/>
        </w:rPr>
        <w:t xml:space="preserve"> работы по созданию профессиональных обучающихся сообществ</w:t>
      </w:r>
      <w:r>
        <w:rPr>
          <w:rFonts w:ascii="Times New Roman" w:hAnsi="Times New Roman"/>
          <w:sz w:val="28"/>
        </w:rPr>
        <w:t xml:space="preserve"> учителей</w:t>
      </w:r>
      <w:r>
        <w:rPr>
          <w:rFonts w:ascii="Times New Roman" w:hAnsi="Times New Roman"/>
          <w:sz w:val="28"/>
        </w:rPr>
        <w:t>. Это 5 встреч с педагогическим коллективом школы, направленных на создание</w:t>
      </w:r>
      <w:r>
        <w:rPr>
          <w:rFonts w:ascii="Times New Roman" w:hAnsi="Times New Roman"/>
          <w:sz w:val="28"/>
        </w:rPr>
        <w:t xml:space="preserve"> и организацию работы</w:t>
      </w:r>
      <w:r>
        <w:rPr>
          <w:rFonts w:ascii="Times New Roman" w:hAnsi="Times New Roman"/>
          <w:sz w:val="28"/>
        </w:rPr>
        <w:t xml:space="preserve"> ПОС.</w:t>
      </w:r>
    </w:p>
    <w:p w14:paraId="4E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Встреча 1 Выбор педагогической стратегии</w:t>
      </w:r>
      <w:r>
        <w:rPr>
          <w:rFonts w:ascii="Times New Roman" w:hAnsi="Times New Roman"/>
          <w:b w:val="1"/>
          <w:sz w:val="28"/>
        </w:rPr>
        <w:t xml:space="preserve"> улучшения качества образования</w:t>
      </w:r>
    </w:p>
    <w:p w14:paraId="4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заочном этапе встречи был проведен мониторинг качества образования. Он проводился на различных уровнях, </w:t>
      </w:r>
      <w:r>
        <w:rPr>
          <w:rFonts w:ascii="Times New Roman" w:hAnsi="Times New Roman"/>
          <w:sz w:val="28"/>
        </w:rPr>
        <w:t>и это позволило</w:t>
      </w:r>
      <w:r>
        <w:rPr>
          <w:rFonts w:ascii="Times New Roman" w:hAnsi="Times New Roman"/>
          <w:sz w:val="28"/>
        </w:rPr>
        <w:t xml:space="preserve"> выделить ряд учебных трудностей, которые сохранялись на протяжении нескольких лет. </w:t>
      </w:r>
    </w:p>
    <w:p w14:paraId="5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Педагогам </w:t>
      </w:r>
      <w:r>
        <w:rPr>
          <w:rFonts w:ascii="Times New Roman" w:hAnsi="Times New Roman"/>
          <w:sz w:val="28"/>
        </w:rPr>
        <w:t>было предложено</w:t>
      </w:r>
      <w:r>
        <w:rPr>
          <w:rFonts w:ascii="Times New Roman" w:hAnsi="Times New Roman"/>
          <w:sz w:val="28"/>
        </w:rPr>
        <w:t xml:space="preserve"> обсудить причины и последствия этих трудностей. Были рассмотрены три основных вопроса:</w:t>
      </w:r>
    </w:p>
    <w:p w14:paraId="5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•Что мы делали для устранения этих трудностей? </w:t>
      </w:r>
    </w:p>
    <w:p w14:paraId="5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•Какие технологии применяли?</w:t>
      </w:r>
    </w:p>
    <w:p w14:paraId="5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•Что еще можно сделать?</w:t>
      </w:r>
    </w:p>
    <w:p w14:paraId="5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было проведено обсуждение «Какие стратегии могли бы сработать на устранение трудностей»</w:t>
      </w:r>
    </w:p>
    <w:p w14:paraId="5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встречи стало решение педагогического совета о выборе общешкольной стратегии по формированию у учащихся навыков 21 века, внесены изменения в ООП НОО и ООО. Также были определены классы с «рисками неуспешности».</w:t>
      </w:r>
    </w:p>
    <w:p w14:paraId="56000000">
      <w:pPr>
        <w:ind/>
        <w:jc w:val="both"/>
        <w:rPr>
          <w:rFonts w:ascii="Times New Roman" w:hAnsi="Times New Roman"/>
          <w:sz w:val="28"/>
        </w:rPr>
      </w:pPr>
    </w:p>
    <w:p w14:paraId="57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Встреча 2  Создание ПОС</w:t>
      </w:r>
      <w:r>
        <w:rPr>
          <w:rFonts w:ascii="Times New Roman" w:hAnsi="Times New Roman"/>
          <w:b w:val="1"/>
          <w:sz w:val="28"/>
        </w:rPr>
        <w:t xml:space="preserve">. Обучение </w:t>
      </w:r>
    </w:p>
    <w:p w14:paraId="58000000">
      <w:pPr>
        <w:ind/>
        <w:jc w:val="both"/>
        <w:rPr>
          <w:rFonts w:ascii="Times New Roman" w:hAnsi="Times New Roman"/>
          <w:color w:val="050505"/>
          <w:sz w:val="28"/>
          <w:highlight w:val="white"/>
        </w:rPr>
      </w:pPr>
      <w:r>
        <w:rPr>
          <w:rFonts w:ascii="Times New Roman" w:hAnsi="Times New Roman"/>
          <w:color w:val="050505"/>
          <w:sz w:val="28"/>
          <w:highlight w:val="white"/>
        </w:rPr>
        <w:t xml:space="preserve">Целью встречи было осознание педагогами школы необходимости неформального объединения в ПОС для решения конкретных профессиональных проблем на основе взаимообучения и взаимообмена практикой. </w:t>
      </w:r>
    </w:p>
    <w:p w14:paraId="5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 – это форумы командного обучения, оценки, планирования и рефлексии. Они создают среду сотрудничества, в которой учителя могут свободно обмениваться проблемами и способами их решения, и ставить цели по улучшению своих собственных процессов преподавания, результатом достижения которых становится улучшение образовательных результатов их учеников.</w:t>
      </w:r>
    </w:p>
    <w:p w14:paraId="5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Определили основные принципы работы ПОС ……..</w:t>
      </w:r>
    </w:p>
    <w:p w14:paraId="5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Работая в группах, пришли к соглашению между членами ПОС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 xml:space="preserve"> это договорённость о том, как они будут общаться друг с другом, чего хотели бы избегать, а что будет хорошо и приятно. Это дает возможность участникам совместно создавать комфортный для всех климат встреч, поддерживать коллегиальность и индивидуальность, совместность и личную ответственность.</w:t>
      </w:r>
      <w:r>
        <w:rPr>
          <w:rFonts w:ascii="Times New Roman" w:hAnsi="Times New Roman"/>
          <w:sz w:val="28"/>
        </w:rPr>
        <w:t xml:space="preserve"> </w:t>
      </w:r>
    </w:p>
    <w:p w14:paraId="5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оставили план горизонтального обучения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color w:val="000000"/>
          <w:sz w:val="28"/>
        </w:rPr>
        <w:t xml:space="preserve">се договорились и распределили, кто из членов ПОС в каких внешних мероприятиях может участвовать для того, чтобы потом принести добытых знания и умения в свое сообщество. </w:t>
      </w:r>
    </w:p>
    <w:p w14:paraId="5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60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Встреча 3 «Планирование ВФО и методической работы»</w:t>
      </w:r>
    </w:p>
    <w:p w14:paraId="6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задачей на этой встрече было: понять основные приоритеты ВФО и разработать план методической работы школы. </w:t>
      </w:r>
    </w:p>
    <w:p w14:paraId="6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встречи б</w:t>
      </w:r>
      <w:r>
        <w:rPr>
          <w:rFonts w:ascii="Times New Roman" w:hAnsi="Times New Roman"/>
          <w:sz w:val="28"/>
        </w:rPr>
        <w:t xml:space="preserve">ыл проведен анализ методической работы школы за предыдущий год. Важно было осознать, насколько методическая работа школы соответствовала   профессиональным потребностям педагогов. Что мы делали для удовлетворения профессиональных потребностей педагогов? </w:t>
      </w:r>
      <w:r>
        <w:rPr>
          <w:rFonts w:ascii="Times New Roman" w:hAnsi="Times New Roman"/>
          <w:sz w:val="28"/>
        </w:rPr>
        <w:t xml:space="preserve">Какие действия были удачными? Что еще можно сделать? </w:t>
      </w:r>
    </w:p>
    <w:p w14:paraId="63000000">
      <w:pPr>
        <w:ind/>
        <w:jc w:val="both"/>
        <w:rPr>
          <w:rFonts w:ascii="Times New Roman" w:hAnsi="Times New Roman"/>
          <w:color w:val="050505"/>
          <w:sz w:val="28"/>
          <w:highlight w:val="white"/>
        </w:rPr>
      </w:pPr>
      <w:r>
        <w:rPr>
          <w:rFonts w:ascii="Times New Roman" w:hAnsi="Times New Roman"/>
          <w:color w:val="050505"/>
          <w:sz w:val="28"/>
          <w:highlight w:val="white"/>
        </w:rPr>
        <w:t xml:space="preserve">Участники обсудили какие мероприятия необходимы, определили ресурсы школы и какая помощь необходима от муниципальных и региональных методических служб. </w:t>
      </w:r>
    </w:p>
    <w:p w14:paraId="64000000">
      <w:pPr>
        <w:ind/>
        <w:jc w:val="both"/>
        <w:rPr>
          <w:rFonts w:ascii="Times New Roman" w:hAnsi="Times New Roman"/>
          <w:color w:val="050505"/>
          <w:sz w:val="28"/>
          <w:highlight w:val="white"/>
        </w:rPr>
      </w:pPr>
      <w:r>
        <w:rPr>
          <w:rFonts w:ascii="Times New Roman" w:hAnsi="Times New Roman"/>
          <w:color w:val="050505"/>
          <w:sz w:val="28"/>
          <w:highlight w:val="white"/>
        </w:rPr>
        <w:t>В результате было принято решение о включении ВФО в план методической работы школы.</w:t>
      </w:r>
    </w:p>
    <w:p w14:paraId="65000000">
      <w:pPr>
        <w:ind/>
        <w:jc w:val="both"/>
        <w:rPr>
          <w:rFonts w:ascii="Times New Roman" w:hAnsi="Times New Roman"/>
          <w:color w:val="050505"/>
          <w:sz w:val="28"/>
          <w:highlight w:val="white"/>
        </w:rPr>
      </w:pPr>
    </w:p>
    <w:p w14:paraId="66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Встреча 4 «Технологии исследования урока»</w:t>
      </w:r>
    </w:p>
    <w:p w14:paraId="67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На этой встрече педагоги познакомились с технологией </w:t>
      </w:r>
      <w:r>
        <w:rPr>
          <w:rFonts w:ascii="Times New Roman" w:hAnsi="Times New Roman"/>
          <w:color w:val="000000"/>
          <w:sz w:val="28"/>
        </w:rPr>
        <w:t>таксономии учебных задач по Д. Толлингеровой</w:t>
      </w:r>
      <w:r>
        <w:rPr>
          <w:rFonts w:ascii="Times New Roman" w:hAnsi="Times New Roman"/>
          <w:color w:val="000000"/>
          <w:sz w:val="28"/>
        </w:rPr>
        <w:t> через пробу «обсчета» предложенных уроков и провели совместное планирование уроков</w:t>
      </w:r>
    </w:p>
    <w:p w14:paraId="68000000">
      <w:pPr>
        <w:ind/>
        <w:jc w:val="both"/>
        <w:rPr>
          <w:rFonts w:ascii="Times New Roman" w:hAnsi="Times New Roman"/>
          <w:color w:val="050505"/>
          <w:sz w:val="28"/>
          <w:highlight w:val="white"/>
        </w:rPr>
      </w:pPr>
      <w:r>
        <w:rPr>
          <w:rFonts w:ascii="Times New Roman" w:hAnsi="Times New Roman"/>
          <w:sz w:val="28"/>
        </w:rPr>
        <w:t>Также смогли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проанализирова</w:t>
      </w:r>
      <w:r>
        <w:rPr>
          <w:rFonts w:ascii="Times New Roman" w:hAnsi="Times New Roman"/>
          <w:color w:val="000000"/>
          <w:sz w:val="28"/>
          <w:highlight w:val="white"/>
        </w:rPr>
        <w:t>ть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технологии исследования урока, которые позволяют достигнуть нужного результата. </w:t>
      </w:r>
      <w:r>
        <w:rPr>
          <w:rFonts w:ascii="Times New Roman" w:hAnsi="Times New Roman"/>
          <w:color w:val="000000"/>
          <w:sz w:val="28"/>
          <w:highlight w:val="white"/>
        </w:rPr>
        <w:t>В школе уже есть г</w:t>
      </w:r>
      <w:r>
        <w:rPr>
          <w:rFonts w:ascii="Times New Roman" w:hAnsi="Times New Roman"/>
          <w:color w:val="000000"/>
          <w:sz w:val="28"/>
          <w:highlight w:val="white"/>
        </w:rPr>
        <w:t>руппа педагогов</w:t>
      </w:r>
      <w:r>
        <w:rPr>
          <w:rFonts w:ascii="Times New Roman" w:hAnsi="Times New Roman"/>
          <w:color w:val="000000"/>
          <w:sz w:val="28"/>
          <w:highlight w:val="white"/>
        </w:rPr>
        <w:t>, которые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использует  для исследования урока технологию Lesson Study. </w:t>
      </w:r>
      <w:r>
        <w:rPr>
          <w:rFonts w:ascii="Times New Roman" w:hAnsi="Times New Roman"/>
          <w:color w:val="050505"/>
          <w:sz w:val="28"/>
          <w:highlight w:val="white"/>
        </w:rPr>
        <w:t xml:space="preserve">Она помогает совершенствоваться как опытным, так и начинающим учителям. </w:t>
      </w:r>
    </w:p>
    <w:p w14:paraId="6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50505"/>
          <w:sz w:val="28"/>
          <w:highlight w:val="white"/>
        </w:rPr>
        <w:t>А далее началась кропотливая работа по планированию, проведению, анализу уроков в выбранных классах.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Педагоги собираются и совместно выбирают дату урока, предмет, тему; проектируют урок с применением подхода </w:t>
      </w:r>
      <w:r>
        <w:rPr>
          <w:rFonts w:ascii="Times New Roman" w:hAnsi="Times New Roman"/>
          <w:sz w:val="28"/>
        </w:rPr>
        <w:t>LS</w:t>
      </w:r>
      <w:r>
        <w:rPr>
          <w:rFonts w:ascii="Times New Roman" w:hAnsi="Times New Roman"/>
          <w:sz w:val="28"/>
        </w:rPr>
        <w:t xml:space="preserve">, где учитывают особенности класса; выбирают методы и приемы работы; определяют количество и ценность учебных задач. В проведении и наблюдении урока принимают участие только разработчики урока. Проводят анализ и корректировку урока. За результат несет ответственность вся группа разработчиков, а не один учитель. </w:t>
      </w:r>
    </w:p>
    <w:p w14:paraId="6A000000">
      <w:pPr>
        <w:ind/>
        <w:jc w:val="both"/>
        <w:rPr>
          <w:rFonts w:ascii="Times New Roman" w:hAnsi="Times New Roman"/>
          <w:color w:val="050505"/>
          <w:sz w:val="28"/>
          <w:highlight w:val="white"/>
        </w:rPr>
      </w:pPr>
    </w:p>
    <w:p w14:paraId="6B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Встреча 5 «Экспертиза результатов работы ПОС»</w:t>
      </w:r>
    </w:p>
    <w:p w14:paraId="6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Работая в группах педагоги отвечали на вопрос что должно контролироваться с точки зрения качества преподавания (методика? технология? результативность?) </w:t>
      </w:r>
    </w:p>
    <w:p w14:paraId="6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при обсуждении результатов командной работы происходит осознание того, что фокус контроля должен быть не на методике, а на образовательных результатах, методика (технология) является способом их достижения. Оценивание должно быть формирующим. </w:t>
      </w:r>
    </w:p>
    <w:p w14:paraId="6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Познакомились с инструментами оценивания деятельности ПОС: оценка степени достижения ОР (LS), дидактическая ценность урока (таксономия УЗ), повышение ПК учителей. </w:t>
      </w:r>
    </w:p>
    <w:p w14:paraId="6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Членами ПОС и административной командой было принято согласованное решение по организации в школе мониторинга деятельности ПОС согласно разработанному плану  и о внесении изменений во ВСОКО.</w:t>
      </w:r>
    </w:p>
    <w:p w14:paraId="70000000">
      <w:pPr>
        <w:ind/>
        <w:jc w:val="both"/>
        <w:rPr>
          <w:rFonts w:ascii="Times New Roman" w:hAnsi="Times New Roman"/>
          <w:sz w:val="28"/>
        </w:rPr>
      </w:pPr>
    </w:p>
    <w:p w14:paraId="71000000">
      <w:pPr>
        <w:ind/>
        <w:jc w:val="both"/>
        <w:rPr>
          <w:rFonts w:ascii="Times New Roman" w:hAnsi="Times New Roman"/>
          <w:sz w:val="28"/>
        </w:rPr>
      </w:pPr>
    </w:p>
    <w:p w14:paraId="72000000">
      <w:pPr>
        <w:ind/>
        <w:jc w:val="both"/>
        <w:rPr>
          <w:rFonts w:ascii="Times New Roman" w:hAnsi="Times New Roman"/>
          <w:sz w:val="28"/>
        </w:rPr>
      </w:pPr>
    </w:p>
    <w:p w14:paraId="73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"https://cloud.mail.ru/public/p8mM/Hn9jLoikC"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https://cloud.mail.ru</w:t>
      </w:r>
      <w:bookmarkStart w:id="1" w:name="_Hlt120528238"/>
      <w:bookmarkStart w:id="2" w:name="_Hlt120528239"/>
      <w:r>
        <w:rPr>
          <w:rStyle w:val="Style_1_ch"/>
          <w:rFonts w:ascii="Times New Roman" w:hAnsi="Times New Roman"/>
          <w:sz w:val="28"/>
        </w:rPr>
        <w:t>/</w:t>
      </w:r>
      <w:bookmarkEnd w:id="1"/>
      <w:bookmarkEnd w:id="2"/>
      <w:r>
        <w:rPr>
          <w:rStyle w:val="Style_1_ch"/>
          <w:rFonts w:ascii="Times New Roman" w:hAnsi="Times New Roman"/>
          <w:sz w:val="28"/>
        </w:rPr>
        <w:t>publi</w:t>
      </w:r>
      <w:bookmarkStart w:id="3" w:name="_Hlt120528045"/>
      <w:bookmarkStart w:id="4" w:name="_Hlt120528046"/>
      <w:bookmarkStart w:id="5" w:name="_Hlt120528169"/>
      <w:bookmarkStart w:id="6" w:name="_Hlt120528170"/>
      <w:r>
        <w:rPr>
          <w:rStyle w:val="Style_1_ch"/>
          <w:rFonts w:ascii="Times New Roman" w:hAnsi="Times New Roman"/>
          <w:sz w:val="28"/>
        </w:rPr>
        <w:t>c</w:t>
      </w:r>
      <w:bookmarkEnd w:id="3"/>
      <w:bookmarkEnd w:id="4"/>
      <w:bookmarkEnd w:id="5"/>
      <w:bookmarkEnd w:id="6"/>
      <w:r>
        <w:rPr>
          <w:rStyle w:val="Style_1_ch"/>
          <w:rFonts w:ascii="Times New Roman" w:hAnsi="Times New Roman"/>
          <w:sz w:val="28"/>
        </w:rPr>
        <w:t>/p8mM/Hn9j</w:t>
      </w:r>
      <w:bookmarkStart w:id="7" w:name="_Hlt120528206"/>
      <w:bookmarkStart w:id="8" w:name="_Hlt120528207"/>
      <w:r>
        <w:rPr>
          <w:rStyle w:val="Style_1_ch"/>
          <w:rFonts w:ascii="Times New Roman" w:hAnsi="Times New Roman"/>
          <w:sz w:val="28"/>
        </w:rPr>
        <w:t>L</w:t>
      </w:r>
      <w:bookmarkEnd w:id="7"/>
      <w:bookmarkEnd w:id="8"/>
      <w:r>
        <w:rPr>
          <w:rStyle w:val="Style_1_ch"/>
          <w:rFonts w:ascii="Times New Roman" w:hAnsi="Times New Roman"/>
          <w:sz w:val="28"/>
        </w:rPr>
        <w:t>oikC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2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3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4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5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8"/>
    <w:link w:val="Style_1_ch"/>
    <w:rPr>
      <w:color w:val="0000FF"/>
      <w:u w:val="single"/>
    </w:rPr>
  </w:style>
  <w:style w:styleId="Style_1_ch" w:type="character">
    <w:name w:val="Hyperlink"/>
    <w:basedOn w:val="Style_8_ch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FollowedHyperlink"/>
    <w:basedOn w:val="Style_8"/>
    <w:link w:val="Style_19_ch"/>
    <w:rPr>
      <w:color w:val="800080"/>
      <w:u w:val="single"/>
    </w:rPr>
  </w:style>
  <w:style w:styleId="Style_19_ch" w:type="character">
    <w:name w:val="FollowedHyperlink"/>
    <w:basedOn w:val="Style_8_ch"/>
    <w:link w:val="Style_19"/>
    <w:rPr>
      <w:color w:val="800080"/>
      <w:u w:val="single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2023-06-07T11:19:02Z</dcterms:modified>
</cp:coreProperties>
</file>